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4"/>
        <w:jc w:val="center"/>
        <w:rPr>
          <w:rFonts w:ascii="Times New Roman" w:hAnsi="Times New Roman" w:eastAsia="Times New Roman"/>
          <w:b/>
          <w:sz w:val="28"/>
          <w:szCs w:val="20"/>
          <w:lang w:eastAsia="ru-RU"/>
        </w:rPr>
      </w:pPr>
      <w:r>
        <w:rPr>
          <w:rFonts w:ascii="Times New Roman" w:hAnsi="Times New Roman" w:eastAsia="Times New Roman"/>
          <w:b/>
          <w:sz w:val="28"/>
          <w:szCs w:val="20"/>
          <w:lang w:eastAsia="ru-RU"/>
        </w:rPr>
        <w:t xml:space="preserve">ФИНАНСОВО-ЭКОНОМИЧЕСКОЕ ОБОСНОВАНИЕ</w:t>
      </w:r>
      <w:r>
        <w:rPr>
          <w:rFonts w:ascii="Times New Roman" w:hAnsi="Times New Roman" w:eastAsia="Times New Roman"/>
          <w:b/>
          <w:sz w:val="28"/>
          <w:szCs w:val="20"/>
          <w:lang w:eastAsia="ru-RU"/>
        </w:rPr>
      </w:r>
      <w:r>
        <w:rPr>
          <w:rFonts w:ascii="Times New Roman" w:hAnsi="Times New Roman" w:eastAsia="Times New Roman"/>
          <w:b/>
          <w:sz w:val="28"/>
          <w:szCs w:val="20"/>
          <w:lang w:eastAsia="ru-RU"/>
        </w:rPr>
      </w:r>
    </w:p>
    <w:p>
      <w:pPr>
        <w:pStyle w:val="83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 проекту закона Новосибирской области</w:t>
      </w:r>
      <w:r>
        <w:rPr>
          <w:rFonts w:ascii="Times New Roman" w:hAnsi="Times New Roman"/>
          <w:b/>
          <w:color w:val="000000"/>
          <w:sz w:val="28"/>
          <w:szCs w:val="28"/>
        </w:rPr>
      </w: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83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«О внесении изменения в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статью 5.2 Закона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Новосибирской области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83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Об отдельных вопросах правового регулирования участия граждан </w:t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83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в охране общественного порядка на территории Новосибирской области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83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3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 xml:space="preserve">закона Новосибирской области «О внесении изменения в статью 5.2 Закона Новосибирской области «Об отдельных вопросах правового регулирования отношений в сфере охраны общественного порядка на территории Новосибирской области» </w:t>
      </w:r>
      <w:r>
        <w:rPr>
          <w:rFonts w:ascii="Times New Roman" w:hAnsi="Times New Roman"/>
          <w:sz w:val="28"/>
          <w:szCs w:val="28"/>
        </w:rPr>
        <w:t xml:space="preserve">(далее – </w:t>
      </w:r>
      <w:r>
        <w:rPr>
          <w:rFonts w:ascii="Times New Roman" w:hAnsi="Times New Roman"/>
          <w:sz w:val="28"/>
          <w:szCs w:val="28"/>
        </w:rPr>
        <w:t xml:space="preserve">закон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будет осуществляться в рамках полномочия Новосибирской области «</w:t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оциальная поддержка и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 (за исключением детей, обучающихся в </w:t>
      </w:r>
      <w:r>
        <w:rPr>
          <w:rFonts w:ascii="Times New Roman" w:hAnsi="Times New Roman"/>
          <w:sz w:val="28"/>
          <w:szCs w:val="28"/>
        </w:rPr>
        <w:t xml:space="preserve">ф</w:t>
      </w:r>
      <w:r>
        <w:rPr>
          <w:rFonts w:ascii="Times New Roman" w:hAnsi="Times New Roman"/>
          <w:sz w:val="28"/>
          <w:szCs w:val="28"/>
        </w:rPr>
        <w:t xml:space="preserve">едеральных государственных образовательных организациях), социальной поддержки ветеранов труда, лиц, проработавших в тылу в период Великой Отечественной войны 1941 - 1945 годов, семей, имеющих детей (в том числе многодетных семей, одиноких родителей), жерт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политических репрессий, малоимущих граждан, в том числе за счет предоставления субвенций местным бюджетам для выплаты пособий на оплату проезда на общественном транспорте, иных социальных пособий, а также для возмещения расходов муниципальных образований 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связи с предоставлением законами субъекта Российской Федерации льгот отдельным категориям граждан, в том числе льгот по оплате услуг связи, организация предоставления гражданам субсидий на оплату жилых помещений и коммунальных услуг (в части предоставлени</w:t>
      </w:r>
      <w:r>
        <w:rPr>
          <w:rFonts w:ascii="Times New Roman" w:hAnsi="Times New Roman"/>
          <w:sz w:val="28"/>
          <w:szCs w:val="28"/>
        </w:rPr>
        <w:t xml:space="preserve">я мер социальной поддержки льготным категориям граждан</w:t>
      </w:r>
      <w:r>
        <w:rPr>
          <w:rFonts w:ascii="Times New Roman" w:hAnsi="Times New Roman"/>
          <w:sz w:val="28"/>
          <w:szCs w:val="28"/>
        </w:rPr>
        <w:t xml:space="preserve">)».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акон</w:t>
      </w:r>
      <w:r>
        <w:rPr>
          <w:rFonts w:ascii="Times New Roman" w:hAnsi="Times New Roman"/>
          <w:sz w:val="28"/>
          <w:szCs w:val="28"/>
        </w:rPr>
        <w:t xml:space="preserve">ом</w:t>
      </w:r>
      <w:r>
        <w:rPr>
          <w:rFonts w:ascii="Times New Roman" w:hAnsi="Times New Roman"/>
          <w:sz w:val="28"/>
          <w:szCs w:val="28"/>
        </w:rPr>
        <w:t xml:space="preserve"> предлагается </w:t>
      </w:r>
      <w:r>
        <w:rPr>
          <w:rFonts w:ascii="Times New Roman" w:hAnsi="Times New Roman"/>
          <w:sz w:val="28"/>
          <w:szCs w:val="28"/>
        </w:rPr>
        <w:t xml:space="preserve">распространить меру поддержки гражда</w:t>
      </w:r>
      <w:r>
        <w:rPr>
          <w:rFonts w:ascii="Times New Roman" w:hAnsi="Times New Roman"/>
          <w:sz w:val="28"/>
          <w:szCs w:val="28"/>
        </w:rPr>
        <w:t xml:space="preserve">н, осуществляющих охрану общественного порядка на территории Новосибирской области на</w:t>
      </w:r>
      <w:r>
        <w:rPr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начальников территориальных органов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Министерства внутренних дел Российской Федерации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на районном уровне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начальников отделов (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отделений,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пунктов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полиции в составе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территориальных органов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Министерства внутренних дел Российской Федерации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на районном уровне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ежемесячная выплата руководителям территориальных органов полиции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).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Установление ежемесячной выплаты руководителям территориальных органов полиции планируется в дифференцированном размере (от 10,00 до </w:t>
        <w:br/>
        <w:t xml:space="preserve">60,00 тыс. рублей)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Штатная численность указанных сотрудников составляет 61 ед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иница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  <w:t xml:space="preserve">Законом Новосибирской области от 19.12.2025 № </w:t>
      </w:r>
      <w:r>
        <w:rPr>
          <w:rFonts w:ascii="Times New Roman" w:hAnsi="Times New Roman"/>
          <w:sz w:val="28"/>
          <w:szCs w:val="28"/>
        </w:rPr>
        <w:t xml:space="preserve">37-ОЗ «Об областном бюджете Новосибирской области на 2026 год и плановый период 2027 и 2028 годов»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министерству труд</w:t>
      </w:r>
      <w:r>
        <w:rPr>
          <w:rFonts w:ascii="Times New Roman" w:hAnsi="Times New Roman"/>
          <w:sz w:val="28"/>
          <w:szCs w:val="28"/>
        </w:rPr>
        <w:t xml:space="preserve">а и социального развития Новосибирской области (далее – министерство) утверждены бюджетные а</w:t>
      </w:r>
      <w:r>
        <w:rPr>
          <w:rFonts w:ascii="Times New Roman" w:hAnsi="Times New Roman"/>
          <w:sz w:val="28"/>
          <w:szCs w:val="28"/>
        </w:rPr>
        <w:t xml:space="preserve">ссигнования в рамках 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асходных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обязательств: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-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мера поддержки граждан, осуществляющих охрану общественного порядка на территории Новосибирской области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КБК 023 100</w:t>
      </w:r>
      <w:r>
        <w:rPr>
          <w:rFonts w:ascii="Times New Roman" w:hAnsi="Times New Roman"/>
          <w:sz w:val="28"/>
          <w:szCs w:val="28"/>
        </w:rPr>
        <w:t xml:space="preserve">3 28.3.04.11120 310</w:t>
      </w:r>
      <w:r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519 720 000,00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 на 2026 год,           448 680 000,00 рублей ежегодно на 202</w:t>
      </w:r>
      <w:r>
        <w:rPr>
          <w:rFonts w:ascii="Times New Roman" w:hAnsi="Times New Roman"/>
          <w:sz w:val="28"/>
          <w:szCs w:val="28"/>
        </w:rPr>
        <w:t xml:space="preserve">7-202</w:t>
      </w:r>
      <w:r>
        <w:rPr>
          <w:rFonts w:ascii="Times New Roman" w:hAnsi="Times New Roman"/>
          <w:sz w:val="28"/>
          <w:szCs w:val="28"/>
        </w:rPr>
        <w:t xml:space="preserve">8 годы.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Лимиты бюджетных обязательств доведены в полном объеме по состоянию на 08.06.2026.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3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финансовое обеспечение услуг доставки социальных выплат: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КБК 023 1006 28.3.04.05260 240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 год – </w:t>
      </w:r>
      <w:r>
        <w:rPr>
          <w:rFonts w:ascii="Times New Roman" w:hAnsi="Times New Roman"/>
          <w:sz w:val="28"/>
          <w:szCs w:val="28"/>
        </w:rPr>
        <w:t xml:space="preserve">170 998 400,00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рубле</w:t>
      </w:r>
      <w:r>
        <w:rPr>
          <w:rFonts w:ascii="Times New Roman" w:hAnsi="Times New Roman"/>
          <w:bCs/>
          <w:sz w:val="28"/>
          <w:szCs w:val="28"/>
        </w:rPr>
        <w:t xml:space="preserve">й, в том числе </w:t>
      </w:r>
      <w:r>
        <w:rPr>
          <w:rFonts w:ascii="Times New Roman" w:hAnsi="Times New Roman"/>
          <w:bCs/>
          <w:sz w:val="28"/>
          <w:szCs w:val="28"/>
        </w:rPr>
        <w:t xml:space="preserve">2 598 600,00 </w:t>
      </w:r>
      <w:r>
        <w:rPr>
          <w:rFonts w:ascii="Times New Roman" w:hAnsi="Times New Roman"/>
          <w:bCs/>
          <w:sz w:val="28"/>
          <w:szCs w:val="28"/>
        </w:rPr>
        <w:t xml:space="preserve"> рублей на обеспечение услуг доставки выплаты;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2027 г</w:t>
      </w:r>
      <w:r>
        <w:rPr>
          <w:rFonts w:ascii="Times New Roman" w:hAnsi="Times New Roman"/>
          <w:sz w:val="28"/>
          <w:szCs w:val="28"/>
        </w:rPr>
        <w:t xml:space="preserve">од – </w:t>
      </w:r>
      <w:r>
        <w:rPr>
          <w:rFonts w:ascii="Times New Roman" w:hAnsi="Times New Roman"/>
          <w:sz w:val="28"/>
          <w:szCs w:val="28"/>
        </w:rPr>
        <w:t xml:space="preserve">209 000 010,90</w:t>
      </w:r>
      <w:r>
        <w:rPr>
          <w:rFonts w:ascii="Times New Roman" w:hAnsi="Times New Roman"/>
          <w:sz w:val="28"/>
          <w:szCs w:val="28"/>
        </w:rPr>
        <w:t xml:space="preserve"> р</w:t>
      </w:r>
      <w:r>
        <w:rPr>
          <w:rFonts w:ascii="Times New Roman" w:hAnsi="Times New Roman"/>
          <w:bCs/>
          <w:sz w:val="28"/>
          <w:szCs w:val="28"/>
        </w:rPr>
        <w:t xml:space="preserve">ублей, в том числе </w:t>
      </w:r>
      <w:r>
        <w:rPr>
          <w:rFonts w:ascii="Times New Roman" w:hAnsi="Times New Roman"/>
          <w:bCs/>
          <w:sz w:val="28"/>
          <w:szCs w:val="28"/>
        </w:rPr>
        <w:t xml:space="preserve">2 243 400,00</w:t>
      </w:r>
      <w:r>
        <w:rPr>
          <w:rFonts w:ascii="Times New Roman" w:hAnsi="Times New Roman"/>
          <w:bCs/>
          <w:sz w:val="28"/>
          <w:szCs w:val="28"/>
        </w:rPr>
        <w:t xml:space="preserve"> рублей на обеспечение услуг доставки выплаты;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49"/>
        <w:ind w:firstLine="709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bCs/>
          <w:sz w:val="28"/>
          <w:szCs w:val="28"/>
        </w:rPr>
        <w:t xml:space="preserve">2028 г</w:t>
      </w:r>
      <w:r>
        <w:rPr>
          <w:rFonts w:ascii="Times New Roman" w:hAnsi="Times New Roman"/>
          <w:sz w:val="28"/>
          <w:szCs w:val="28"/>
        </w:rPr>
        <w:t xml:space="preserve">од – </w:t>
      </w:r>
      <w:r>
        <w:rPr>
          <w:rFonts w:ascii="Times New Roman" w:hAnsi="Times New Roman"/>
          <w:sz w:val="28"/>
          <w:szCs w:val="28"/>
        </w:rPr>
        <w:t xml:space="preserve">209 000 002,24</w:t>
      </w:r>
      <w:r>
        <w:rPr>
          <w:rFonts w:ascii="Times New Roman" w:hAnsi="Times New Roman"/>
          <w:sz w:val="28"/>
          <w:szCs w:val="28"/>
        </w:rPr>
        <w:t xml:space="preserve"> ру</w:t>
      </w:r>
      <w:r>
        <w:rPr>
          <w:rFonts w:ascii="Times New Roman" w:hAnsi="Times New Roman"/>
          <w:bCs/>
          <w:sz w:val="28"/>
          <w:szCs w:val="28"/>
        </w:rPr>
        <w:t xml:space="preserve">блей, в том числе </w:t>
      </w:r>
      <w:r>
        <w:rPr>
          <w:rFonts w:ascii="Times New Roman" w:hAnsi="Times New Roman"/>
          <w:bCs/>
          <w:sz w:val="28"/>
          <w:szCs w:val="28"/>
        </w:rPr>
        <w:t xml:space="preserve">2 243 400,00</w:t>
      </w:r>
      <w:r>
        <w:rPr>
          <w:rFonts w:ascii="Times New Roman" w:hAnsi="Times New Roman"/>
          <w:bCs/>
          <w:sz w:val="28"/>
          <w:szCs w:val="28"/>
        </w:rPr>
        <w:t xml:space="preserve"> рублей на обеспечение услуг доставки выплаты.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рамках </w:t>
      </w:r>
      <w:r>
        <w:rPr>
          <w:rFonts w:ascii="Times New Roman" w:hAnsi="Times New Roman"/>
          <w:sz w:val="28"/>
          <w:szCs w:val="28"/>
          <w:highlight w:val="white"/>
        </w:rPr>
        <w:t xml:space="preserve">оптимизации расходов бюджета Новосибирской области министерством направлены предложения по блокировке </w:t>
      </w:r>
      <w:r>
        <w:rPr>
          <w:rFonts w:ascii="Times New Roman" w:hAnsi="Times New Roman"/>
          <w:sz w:val="28"/>
          <w:szCs w:val="28"/>
          <w:highlight w:val="white"/>
        </w:rPr>
        <w:t xml:space="preserve">лимитов бюджетных </w:t>
      </w:r>
      <w:r>
        <w:rPr>
          <w:rFonts w:ascii="Times New Roman" w:hAnsi="Times New Roman"/>
          <w:sz w:val="28"/>
          <w:szCs w:val="28"/>
          <w:highlight w:val="white"/>
        </w:rPr>
        <w:t xml:space="preserve">обязательств</w:t>
      </w:r>
      <w:r>
        <w:rPr>
          <w:rFonts w:ascii="Times New Roman" w:hAnsi="Times New Roman"/>
          <w:sz w:val="28"/>
          <w:szCs w:val="28"/>
          <w:highlight w:val="white"/>
        </w:rPr>
        <w:t xml:space="preserve"> по расходному обязательству</w:t>
      </w:r>
      <w:r>
        <w:rPr>
          <w:rFonts w:ascii="Times New Roman" w:hAnsi="Times New Roman"/>
          <w:sz w:val="28"/>
          <w:szCs w:val="28"/>
          <w:highlight w:val="white"/>
        </w:rPr>
        <w:t xml:space="preserve"> «</w:t>
      </w:r>
      <w:r>
        <w:rPr>
          <w:rFonts w:ascii="Times New Roman" w:hAnsi="Times New Roman"/>
          <w:sz w:val="28"/>
          <w:szCs w:val="28"/>
          <w:highlight w:val="white"/>
        </w:rPr>
        <w:t xml:space="preserve">Финансовое обеспечение услуг д</w:t>
      </w:r>
      <w:r>
        <w:rPr>
          <w:rFonts w:ascii="Times New Roman" w:hAnsi="Times New Roman"/>
          <w:sz w:val="28"/>
          <w:szCs w:val="28"/>
          <w:highlight w:val="white"/>
        </w:rPr>
        <w:t xml:space="preserve">оставки социальных выплат</w:t>
      </w:r>
      <w:r>
        <w:rPr>
          <w:rFonts w:ascii="Times New Roman" w:hAnsi="Times New Roman"/>
          <w:sz w:val="28"/>
          <w:szCs w:val="28"/>
          <w:highlight w:val="white"/>
        </w:rPr>
        <w:t xml:space="preserve">» </w:t>
      </w:r>
      <w:r>
        <w:rPr>
          <w:rFonts w:ascii="Times New Roman" w:hAnsi="Times New Roman"/>
          <w:sz w:val="28"/>
          <w:szCs w:val="28"/>
          <w:highlight w:val="white"/>
        </w:rPr>
        <w:t xml:space="preserve">по КБК </w:t>
      </w:r>
      <w:r>
        <w:rPr>
          <w:rFonts w:ascii="Times New Roman" w:hAnsi="Times New Roman"/>
          <w:sz w:val="28"/>
          <w:szCs w:val="28"/>
          <w:highlight w:val="white"/>
        </w:rPr>
        <w:t xml:space="preserve">023 1006 28.3.04.05260 240</w:t>
      </w:r>
      <w:r>
        <w:rPr>
          <w:rFonts w:ascii="Times New Roman" w:hAnsi="Times New Roman"/>
          <w:sz w:val="28"/>
          <w:szCs w:val="28"/>
          <w:highlight w:val="white"/>
        </w:rPr>
        <w:t xml:space="preserve"> в сумме </w:t>
      </w:r>
      <w:r>
        <w:rPr>
          <w:rFonts w:ascii="Times New Roman" w:hAnsi="Times New Roman"/>
          <w:sz w:val="28"/>
          <w:szCs w:val="28"/>
          <w:highlight w:val="white"/>
        </w:rPr>
        <w:t xml:space="preserve">26 404 316,22</w:t>
      </w:r>
      <w:r>
        <w:rPr>
          <w:rFonts w:ascii="Times New Roman" w:hAnsi="Times New Roman"/>
          <w:sz w:val="28"/>
          <w:szCs w:val="28"/>
          <w:highlight w:val="white"/>
        </w:rPr>
        <w:t xml:space="preserve"> рублей на 2027 </w:t>
      </w:r>
      <w:r>
        <w:rPr>
          <w:rFonts w:ascii="Times New Roman" w:hAnsi="Times New Roman"/>
          <w:sz w:val="28"/>
          <w:szCs w:val="28"/>
          <w:highlight w:val="white"/>
        </w:rPr>
        <w:t xml:space="preserve">год, </w:t>
      </w:r>
      <w:r>
        <w:rPr>
          <w:rFonts w:ascii="Times New Roman" w:hAnsi="Times New Roman"/>
          <w:sz w:val="28"/>
          <w:szCs w:val="28"/>
          <w:highlight w:val="white"/>
        </w:rPr>
        <w:t xml:space="preserve">27 741 000,92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рублей на 2028 </w:t>
      </w:r>
      <w:r>
        <w:rPr>
          <w:rFonts w:ascii="Times New Roman" w:hAnsi="Times New Roman"/>
          <w:sz w:val="28"/>
          <w:szCs w:val="28"/>
          <w:highlight w:val="white"/>
        </w:rPr>
        <w:t xml:space="preserve">год</w:t>
      </w:r>
      <w:r>
        <w:rPr>
          <w:rFonts w:ascii="Times New Roman" w:hAnsi="Times New Roman"/>
          <w:sz w:val="28"/>
          <w:szCs w:val="28"/>
          <w:highlight w:val="white"/>
        </w:rPr>
        <w:t xml:space="preserve"> (по состоянию на 08.06.2026).</w:t>
      </w:r>
      <w:r>
        <w:rPr>
          <w:rFonts w:ascii="Times New Roman" w:hAnsi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/>
          <w:sz w:val="28"/>
          <w:szCs w:val="28"/>
          <w:highlight w:val="white"/>
          <w14:ligatures w14:val="none"/>
        </w:rPr>
      </w:r>
    </w:p>
    <w:p>
      <w:pPr>
        <w:spacing w:after="0" w:afterAutospacing="0"/>
        <w:ind w:firstLine="709"/>
        <w:jc w:val="both"/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По состоянию н</w:t>
      </w:r>
      <w:r>
        <w:rPr>
          <w:rFonts w:ascii="Times New Roman" w:hAnsi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/>
          <w:sz w:val="28"/>
          <w:szCs w:val="28"/>
          <w:highlight w:val="white"/>
        </w:rPr>
        <w:t xml:space="preserve"> 08.06.2026 </w:t>
      </w:r>
      <w:r>
        <w:rPr>
          <w:rFonts w:ascii="Times New Roman" w:hAnsi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/>
          <w:sz w:val="28"/>
          <w:szCs w:val="28"/>
          <w:highlight w:val="white"/>
        </w:rPr>
        <w:t xml:space="preserve">оведены лимиты бюджетных обязательств по </w:t>
      </w:r>
      <w:r>
        <w:rPr>
          <w:rFonts w:ascii="Times New Roman" w:hAnsi="Times New Roman"/>
          <w:sz w:val="28"/>
          <w:szCs w:val="28"/>
          <w:highlight w:val="white"/>
        </w:rPr>
        <w:t xml:space="preserve">КБК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023 1006 28.3.04.05260 240</w:t>
      </w:r>
      <w:r>
        <w:rPr>
          <w:rFonts w:ascii="Times New Roman" w:hAnsi="Times New Roman"/>
          <w:sz w:val="28"/>
          <w:szCs w:val="28"/>
          <w:highlight w:val="none"/>
        </w:rPr>
        <w:t xml:space="preserve">:</w:t>
      </w:r>
      <w:r>
        <w:rPr>
          <w:rFonts w:ascii="Times New Roman" w:hAnsi="Times New Roman"/>
          <w:highlight w:val="white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spacing w:after="0" w:afterAutospacing="0"/>
        <w:ind w:firstLine="709"/>
        <w:jc w:val="both"/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2026 го</w:t>
      </w:r>
      <w:r>
        <w:rPr>
          <w:rFonts w:ascii="Times New Roman" w:hAnsi="Times New Roman"/>
          <w:sz w:val="28"/>
          <w:szCs w:val="28"/>
          <w:highlight w:val="white"/>
        </w:rPr>
        <w:t xml:space="preserve">д </w:t>
      </w:r>
      <w:r>
        <w:rPr>
          <w:rFonts w:ascii="Times New Roman" w:hAnsi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170 998 400,00</w:t>
      </w:r>
      <w:r>
        <w:rPr>
          <w:rFonts w:ascii="Times New Roman" w:hAnsi="Times New Roman"/>
          <w:sz w:val="28"/>
          <w:szCs w:val="28"/>
          <w:highlight w:val="white"/>
        </w:rPr>
        <w:t xml:space="preserve"> ру</w:t>
      </w:r>
      <w:r>
        <w:rPr>
          <w:rFonts w:ascii="Times New Roman" w:hAnsi="Times New Roman"/>
          <w:sz w:val="28"/>
          <w:szCs w:val="28"/>
          <w:highlight w:val="white"/>
        </w:rPr>
        <w:t xml:space="preserve">б</w:t>
      </w:r>
      <w:r>
        <w:rPr>
          <w:rFonts w:ascii="Times New Roman" w:hAnsi="Times New Roman"/>
          <w:sz w:val="28"/>
          <w:szCs w:val="28"/>
          <w:highlight w:val="white"/>
        </w:rPr>
        <w:t xml:space="preserve">лей</w:t>
      </w:r>
      <w:r>
        <w:rPr>
          <w:rFonts w:ascii="Times New Roman" w:hAnsi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highlight w:val="white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spacing w:after="0" w:afterAutospacing="0"/>
        <w:ind w:firstLine="709"/>
        <w:jc w:val="both"/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2027 </w:t>
      </w:r>
      <w:r>
        <w:rPr>
          <w:rFonts w:ascii="Times New Roman" w:hAnsi="Times New Roman"/>
          <w:sz w:val="28"/>
          <w:szCs w:val="28"/>
          <w:highlight w:val="white"/>
        </w:rPr>
        <w:t xml:space="preserve">год </w:t>
      </w:r>
      <w:r>
        <w:rPr>
          <w:rFonts w:ascii="Times New Roman" w:hAnsi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182 595 694,68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highlight w:val="white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spacing w:after="0" w:afterAutospacing="0"/>
        <w:ind w:firstLine="709"/>
        <w:jc w:val="both"/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2028 год </w:t>
      </w:r>
      <w:r>
        <w:rPr>
          <w:rFonts w:ascii="Times New Roman" w:hAnsi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181 259 001,32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/>
          <w:sz w:val="28"/>
          <w:szCs w:val="28"/>
          <w:highlight w:val="white"/>
        </w:rPr>
        <w:t xml:space="preserve">ублей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highlight w:val="white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849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Реализация закона будет осуществляться в пределах утвержденных министерству бюджетных ассигнований и доведенных лимитов бюджетных обязательств, дополнительных средств из областного бюджета Новосибирской области не потребуется.</w:t>
      </w:r>
      <w:r>
        <w:rPr>
          <w:rFonts w:ascii="Times New Roman" w:hAnsi="Times New Roman"/>
          <w:bCs/>
          <w:sz w:val="28"/>
          <w:szCs w:val="28"/>
        </w:rPr>
        <w:t xml:space="preserve"> Расчеты представлены в приложениях № 1, 2 к финансово-экономическому обоснованию.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3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Выпадающие доходы областного бюджета Новосибирской области при реализации закона отсутствуют.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Участником реализации закона является министерство.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992" w:right="850" w:bottom="709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ind w:left="720"/>
      <w:contextualSpacing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2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2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2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spacing w:after="57"/>
      <w:ind w:left="0" w:right="0" w:firstLine="0"/>
    </w:pPr>
  </w:style>
  <w:style w:type="paragraph" w:styleId="824">
    <w:name w:val="toc 2"/>
    <w:basedOn w:val="834"/>
    <w:next w:val="834"/>
    <w:uiPriority w:val="39"/>
    <w:unhideWhenUsed/>
    <w:pPr>
      <w:spacing w:after="57"/>
      <w:ind w:left="283" w:right="0" w:firstLine="0"/>
    </w:pPr>
  </w:style>
  <w:style w:type="paragraph" w:styleId="825">
    <w:name w:val="toc 3"/>
    <w:basedOn w:val="834"/>
    <w:next w:val="834"/>
    <w:uiPriority w:val="39"/>
    <w:unhideWhenUsed/>
    <w:pPr>
      <w:spacing w:after="57"/>
      <w:ind w:left="567" w:right="0" w:firstLine="0"/>
    </w:pPr>
  </w:style>
  <w:style w:type="paragraph" w:styleId="826">
    <w:name w:val="toc 4"/>
    <w:basedOn w:val="834"/>
    <w:next w:val="834"/>
    <w:uiPriority w:val="39"/>
    <w:unhideWhenUsed/>
    <w:pPr>
      <w:spacing w:after="57"/>
      <w:ind w:left="850" w:right="0" w:firstLine="0"/>
    </w:pPr>
  </w:style>
  <w:style w:type="paragraph" w:styleId="827">
    <w:name w:val="toc 5"/>
    <w:basedOn w:val="834"/>
    <w:next w:val="834"/>
    <w:uiPriority w:val="39"/>
    <w:unhideWhenUsed/>
    <w:pPr>
      <w:spacing w:after="57"/>
      <w:ind w:left="1134" w:right="0" w:firstLine="0"/>
    </w:pPr>
  </w:style>
  <w:style w:type="paragraph" w:styleId="828">
    <w:name w:val="toc 6"/>
    <w:basedOn w:val="834"/>
    <w:next w:val="834"/>
    <w:uiPriority w:val="39"/>
    <w:unhideWhenUsed/>
    <w:pPr>
      <w:spacing w:after="57"/>
      <w:ind w:left="1417" w:right="0" w:firstLine="0"/>
    </w:pPr>
  </w:style>
  <w:style w:type="paragraph" w:styleId="829">
    <w:name w:val="toc 7"/>
    <w:basedOn w:val="834"/>
    <w:next w:val="834"/>
    <w:uiPriority w:val="39"/>
    <w:unhideWhenUsed/>
    <w:pPr>
      <w:spacing w:after="57"/>
      <w:ind w:left="1701" w:right="0" w:firstLine="0"/>
    </w:pPr>
  </w:style>
  <w:style w:type="paragraph" w:styleId="830">
    <w:name w:val="toc 8"/>
    <w:basedOn w:val="834"/>
    <w:next w:val="834"/>
    <w:uiPriority w:val="39"/>
    <w:unhideWhenUsed/>
    <w:pPr>
      <w:spacing w:after="57"/>
      <w:ind w:left="1984" w:right="0" w:firstLine="0"/>
    </w:pPr>
  </w:style>
  <w:style w:type="paragraph" w:styleId="831">
    <w:name w:val="toc 9"/>
    <w:basedOn w:val="834"/>
    <w:next w:val="834"/>
    <w:uiPriority w:val="39"/>
    <w:unhideWhenUsed/>
    <w:pPr>
      <w:spacing w:after="57"/>
      <w:ind w:left="2268" w:right="0" w:firstLine="0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next w:val="834"/>
    <w:link w:val="834"/>
    <w:qFormat/>
    <w:rPr>
      <w:sz w:val="22"/>
      <w:szCs w:val="22"/>
      <w:lang w:val="ru-RU" w:eastAsia="en-US" w:bidi="ar-SA"/>
    </w:rPr>
  </w:style>
  <w:style w:type="character" w:styleId="835">
    <w:name w:val="Основной шрифт абзаца"/>
    <w:next w:val="835"/>
    <w:link w:val="834"/>
    <w:uiPriority w:val="1"/>
    <w:unhideWhenUsed/>
  </w:style>
  <w:style w:type="table" w:styleId="836">
    <w:name w:val="Обычная таблица"/>
    <w:next w:val="836"/>
    <w:link w:val="834"/>
    <w:uiPriority w:val="99"/>
    <w:semiHidden/>
    <w:unhideWhenUsed/>
    <w:tblPr/>
  </w:style>
  <w:style w:type="numbering" w:styleId="837">
    <w:name w:val="Нет списка"/>
    <w:next w:val="837"/>
    <w:link w:val="834"/>
    <w:uiPriority w:val="99"/>
    <w:semiHidden/>
    <w:unhideWhenUsed/>
  </w:style>
  <w:style w:type="paragraph" w:styleId="838">
    <w:name w:val="ConsPlusNormal"/>
    <w:next w:val="838"/>
    <w:link w:val="834"/>
    <w:rPr>
      <w:rFonts w:ascii="Arial" w:hAnsi="Arial" w:cs="Arial"/>
      <w:lang w:val="ru-RU" w:eastAsia="en-US" w:bidi="ar-SA"/>
    </w:rPr>
  </w:style>
  <w:style w:type="paragraph" w:styleId="839">
    <w:name w:val="Текст выноски"/>
    <w:basedOn w:val="834"/>
    <w:next w:val="839"/>
    <w:link w:val="840"/>
    <w:uiPriority w:val="99"/>
    <w:semiHidden/>
    <w:unhideWhenUsed/>
    <w:rPr>
      <w:rFonts w:ascii="Tahoma" w:hAnsi="Tahoma" w:cs="Tahoma"/>
      <w:sz w:val="16"/>
      <w:szCs w:val="16"/>
    </w:rPr>
  </w:style>
  <w:style w:type="character" w:styleId="840">
    <w:name w:val="Текст выноски Знак"/>
    <w:next w:val="840"/>
    <w:link w:val="839"/>
    <w:uiPriority w:val="99"/>
    <w:semiHidden/>
    <w:rPr>
      <w:rFonts w:ascii="Tahoma" w:hAnsi="Tahoma" w:cs="Tahoma"/>
      <w:sz w:val="16"/>
      <w:szCs w:val="16"/>
    </w:rPr>
  </w:style>
  <w:style w:type="paragraph" w:styleId="841">
    <w:name w:val="Текст сноски"/>
    <w:basedOn w:val="834"/>
    <w:next w:val="841"/>
    <w:link w:val="842"/>
    <w:uiPriority w:val="99"/>
    <w:semiHidden/>
    <w:unhideWhenUsed/>
    <w:rPr>
      <w:sz w:val="20"/>
      <w:szCs w:val="20"/>
    </w:rPr>
  </w:style>
  <w:style w:type="character" w:styleId="842">
    <w:name w:val="Текст сноски Знак"/>
    <w:next w:val="842"/>
    <w:link w:val="841"/>
    <w:uiPriority w:val="99"/>
    <w:semiHidden/>
    <w:rPr>
      <w:sz w:val="20"/>
      <w:szCs w:val="20"/>
    </w:rPr>
  </w:style>
  <w:style w:type="character" w:styleId="843">
    <w:name w:val="Знак сноски"/>
    <w:next w:val="843"/>
    <w:link w:val="834"/>
    <w:uiPriority w:val="99"/>
    <w:semiHidden/>
    <w:unhideWhenUsed/>
    <w:rPr>
      <w:vertAlign w:val="superscript"/>
    </w:rPr>
  </w:style>
  <w:style w:type="paragraph" w:styleId="844">
    <w:name w:val="Верхний колонтитул"/>
    <w:basedOn w:val="834"/>
    <w:next w:val="844"/>
    <w:link w:val="845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45">
    <w:name w:val="Верхний колонтитул Знак"/>
    <w:basedOn w:val="835"/>
    <w:next w:val="845"/>
    <w:link w:val="844"/>
    <w:uiPriority w:val="99"/>
    <w:semiHidden/>
  </w:style>
  <w:style w:type="paragraph" w:styleId="846">
    <w:name w:val="Нижний колонтитул"/>
    <w:basedOn w:val="834"/>
    <w:next w:val="846"/>
    <w:link w:val="84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47">
    <w:name w:val="Нижний колонтитул Знак"/>
    <w:basedOn w:val="835"/>
    <w:next w:val="847"/>
    <w:link w:val="846"/>
    <w:uiPriority w:val="99"/>
    <w:semiHidden/>
  </w:style>
  <w:style w:type="paragraph" w:styleId="848">
    <w:name w:val="Абзац списка"/>
    <w:basedOn w:val="834"/>
    <w:next w:val="848"/>
    <w:link w:val="834"/>
    <w:uiPriority w:val="34"/>
    <w:qFormat/>
    <w:pPr>
      <w:ind w:left="720"/>
      <w:contextualSpacing/>
    </w:pPr>
  </w:style>
  <w:style w:type="paragraph" w:styleId="849">
    <w:name w:val="Без интервала"/>
    <w:next w:val="849"/>
    <w:link w:val="834"/>
    <w:uiPriority w:val="1"/>
    <w:qFormat/>
    <w:rPr>
      <w:sz w:val="22"/>
      <w:szCs w:val="22"/>
      <w:lang w:val="ru-RU" w:eastAsia="en-US" w:bidi="ar-SA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dtsr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Abaa</dc:creator>
  <cp:revision>15</cp:revision>
  <dcterms:created xsi:type="dcterms:W3CDTF">2025-03-10T07:44:00Z</dcterms:created>
  <dcterms:modified xsi:type="dcterms:W3CDTF">2026-06-09T09:08:33Z</dcterms:modified>
  <cp:version>983040</cp:version>
</cp:coreProperties>
</file>